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7CC" w:rsidRDefault="004A77CC" w:rsidP="004A77CC">
      <w:r>
        <w:rPr>
          <w:rFonts w:ascii="Arial" w:hAnsi="Arial" w:cs="Arial"/>
          <w:b/>
          <w:bCs/>
          <w:color w:val="000080"/>
          <w:sz w:val="58"/>
          <w:szCs w:val="58"/>
        </w:rPr>
        <w:t xml:space="preserve">Queensland Water Directorate </w:t>
      </w:r>
      <w:bookmarkStart w:id="0" w:name="_GoBack"/>
      <w:r>
        <w:rPr>
          <w:rFonts w:ascii="Arial" w:hAnsi="Arial" w:cs="Arial"/>
          <w:b/>
          <w:bCs/>
          <w:color w:val="000080"/>
          <w:sz w:val="58"/>
          <w:szCs w:val="58"/>
        </w:rPr>
        <w:t>(</w:t>
      </w:r>
      <w:r>
        <w:rPr>
          <w:rFonts w:ascii="Arial" w:hAnsi="Arial" w:cs="Arial"/>
          <w:b/>
          <w:bCs/>
          <w:i/>
          <w:iCs/>
          <w:color w:val="000080"/>
          <w:sz w:val="58"/>
          <w:szCs w:val="58"/>
        </w:rPr>
        <w:t>qldwater</w:t>
      </w:r>
      <w:r>
        <w:rPr>
          <w:rFonts w:ascii="Arial" w:hAnsi="Arial" w:cs="Arial"/>
          <w:b/>
          <w:bCs/>
          <w:color w:val="000080"/>
          <w:sz w:val="58"/>
          <w:szCs w:val="58"/>
        </w:rPr>
        <w:t>)</w:t>
      </w:r>
      <w:r>
        <w:rPr>
          <w:rFonts w:ascii="Arial" w:hAnsi="Arial" w:cs="Arial"/>
          <w:color w:val="000080"/>
          <w:sz w:val="58"/>
          <w:szCs w:val="58"/>
        </w:rPr>
        <w:t> </w:t>
      </w:r>
      <w:r>
        <w:rPr>
          <w:rFonts w:ascii="Arial" w:hAnsi="Arial" w:cs="Arial"/>
          <w:b/>
          <w:bCs/>
          <w:i/>
          <w:iCs/>
          <w:color w:val="000080"/>
          <w:sz w:val="58"/>
          <w:szCs w:val="58"/>
        </w:rPr>
        <w:t>e-</w:t>
      </w:r>
      <w:r>
        <w:rPr>
          <w:rFonts w:ascii="Arial" w:hAnsi="Arial" w:cs="Arial"/>
          <w:b/>
          <w:bCs/>
          <w:color w:val="000080"/>
          <w:sz w:val="58"/>
          <w:szCs w:val="58"/>
        </w:rPr>
        <w:t>flash</w:t>
      </w:r>
    </w:p>
    <w:bookmarkEnd w:id="0"/>
    <w:p w:rsidR="004A77CC" w:rsidRDefault="004A77CC" w:rsidP="004A77CC">
      <w:r>
        <w:rPr>
          <w:rFonts w:ascii="Arial" w:hAnsi="Arial" w:cs="Arial"/>
          <w:b/>
          <w:bCs/>
          <w:color w:val="0000FF"/>
          <w:sz w:val="26"/>
          <w:szCs w:val="26"/>
        </w:rPr>
        <w:t> </w:t>
      </w:r>
    </w:p>
    <w:p w:rsidR="004A77CC" w:rsidRDefault="004A77CC" w:rsidP="004A77CC">
      <w:r>
        <w:rPr>
          <w:rFonts w:ascii="Arial" w:hAnsi="Arial" w:cs="Arial"/>
          <w:b/>
          <w:bCs/>
          <w:color w:val="0000FF"/>
          <w:sz w:val="26"/>
          <w:szCs w:val="26"/>
        </w:rPr>
        <w:t xml:space="preserve">Information for Water Industry Managers and Practitioners in the Queensland Water Industry </w:t>
      </w:r>
    </w:p>
    <w:p w:rsidR="004A77CC" w:rsidRDefault="004A77CC" w:rsidP="004A77CC">
      <w:r>
        <w:rPr>
          <w:rFonts w:ascii="Arial" w:hAnsi="Arial" w:cs="Arial"/>
          <w:b/>
          <w:bCs/>
          <w:color w:val="0000FF"/>
          <w:sz w:val="26"/>
          <w:szCs w:val="26"/>
        </w:rPr>
        <w:t>(</w:t>
      </w:r>
      <w:r>
        <w:rPr>
          <w:rFonts w:ascii="Arial" w:hAnsi="Arial" w:cs="Arial"/>
          <w:b/>
          <w:bCs/>
          <w:color w:val="0000FF"/>
          <w:sz w:val="28"/>
          <w:szCs w:val="28"/>
        </w:rPr>
        <w:t>Issue #228 – 21 May 2014)</w:t>
      </w:r>
    </w:p>
    <w:p w:rsidR="004A77CC" w:rsidRDefault="004A77CC" w:rsidP="004A77CC">
      <w:pPr>
        <w:rPr>
          <w:rFonts w:ascii="Arial Narrow" w:hAnsi="Arial Narrow"/>
          <w:b/>
          <w:bCs/>
          <w:iCs/>
          <w:color w:val="0000FF"/>
          <w:sz w:val="28"/>
          <w:szCs w:val="28"/>
        </w:rPr>
      </w:pPr>
      <w:r>
        <w:rPr>
          <w:rFonts w:ascii="Arial Narrow" w:hAnsi="Arial Narrow"/>
          <w:b/>
          <w:bCs/>
          <w:iCs/>
          <w:color w:val="0000FF"/>
          <w:sz w:val="28"/>
          <w:szCs w:val="28"/>
        </w:rPr>
        <w:t xml:space="preserve">                                          </w:t>
      </w:r>
    </w:p>
    <w:p w:rsidR="004A77CC" w:rsidRDefault="004A77CC" w:rsidP="004A77CC">
      <w:pPr>
        <w:rPr>
          <w:rFonts w:ascii="Arial Narrow" w:hAnsi="Arial Narrow"/>
          <w:b/>
          <w:bCs/>
          <w:color w:val="0000FF"/>
          <w:sz w:val="28"/>
          <w:szCs w:val="28"/>
        </w:rPr>
      </w:pPr>
      <w:r>
        <w:rPr>
          <w:rFonts w:ascii="Arial Narrow" w:hAnsi="Arial Narrow"/>
          <w:b/>
          <w:bCs/>
          <w:iCs/>
          <w:color w:val="0000FF"/>
          <w:sz w:val="28"/>
          <w:szCs w:val="28"/>
        </w:rPr>
        <w:t>1.  Key DEWS Deadlines and New Fact Sheets</w:t>
      </w:r>
    </w:p>
    <w:p w:rsidR="004A77CC" w:rsidRDefault="004A77CC" w:rsidP="004A77CC">
      <w:pPr>
        <w:rPr>
          <w:rFonts w:ascii="Arial Narrow" w:hAnsi="Arial Narrow"/>
          <w:b/>
          <w:bCs/>
          <w:iCs/>
          <w:color w:val="0000FF"/>
          <w:sz w:val="28"/>
          <w:szCs w:val="28"/>
        </w:rPr>
      </w:pPr>
      <w:r>
        <w:rPr>
          <w:rFonts w:ascii="Arial Narrow" w:hAnsi="Arial Narrow"/>
          <w:b/>
          <w:bCs/>
          <w:iCs/>
          <w:color w:val="0000FF"/>
          <w:sz w:val="28"/>
          <w:szCs w:val="28"/>
        </w:rPr>
        <w:t>2.  Amended Planning Guidelines for Water Supply and Sewerage</w:t>
      </w:r>
    </w:p>
    <w:p w:rsidR="004A77CC" w:rsidRDefault="004A77CC" w:rsidP="004A77CC">
      <w:pPr>
        <w:rPr>
          <w:rFonts w:ascii="Arial Narrow" w:hAnsi="Arial Narrow"/>
          <w:b/>
          <w:bCs/>
          <w:color w:val="0000FF"/>
          <w:sz w:val="28"/>
          <w:szCs w:val="28"/>
        </w:rPr>
      </w:pPr>
    </w:p>
    <w:p w:rsidR="004A77CC" w:rsidRDefault="004A77CC" w:rsidP="004A77CC">
      <w:pPr>
        <w:rPr>
          <w:rFonts w:asciiTheme="minorHAnsi" w:hAnsiTheme="minorHAnsi"/>
        </w:rPr>
      </w:pPr>
      <w:r>
        <w:rPr>
          <w:rFonts w:ascii="Brush Script MT" w:hAnsi="Brush Script MT"/>
          <w:b/>
          <w:bCs/>
          <w:color w:val="800000"/>
        </w:rPr>
        <w:t>~~~~~~~~~~~~~~~~~~~~~~~~~~~~~~~~~~~~~~~~~~~~~~~~~~~~~~~~</w:t>
      </w:r>
    </w:p>
    <w:p w:rsidR="004A77CC" w:rsidRDefault="004A77CC" w:rsidP="004A77CC">
      <w:pPr>
        <w:rPr>
          <w:rFonts w:ascii="Arial Narrow" w:hAnsi="Arial Narrow"/>
          <w:b/>
          <w:bCs/>
          <w:iCs/>
          <w:color w:val="0000FF"/>
          <w:sz w:val="28"/>
          <w:szCs w:val="28"/>
        </w:rPr>
      </w:pPr>
      <w:r>
        <w:rPr>
          <w:rFonts w:ascii="Arial Narrow" w:hAnsi="Arial Narrow"/>
          <w:b/>
          <w:bCs/>
          <w:iCs/>
          <w:color w:val="0000FF"/>
          <w:sz w:val="28"/>
          <w:szCs w:val="28"/>
        </w:rPr>
        <w:t>1.   Key DEWS Deadlines and New</w:t>
      </w:r>
      <w:r>
        <w:t xml:space="preserve"> </w:t>
      </w:r>
      <w:r>
        <w:rPr>
          <w:rFonts w:ascii="Arial Narrow" w:hAnsi="Arial Narrow"/>
          <w:b/>
          <w:bCs/>
          <w:iCs/>
          <w:color w:val="0000FF"/>
          <w:sz w:val="28"/>
          <w:szCs w:val="28"/>
        </w:rPr>
        <w:t>Fact Sheets</w:t>
      </w:r>
    </w:p>
    <w:p w:rsidR="004A77CC" w:rsidRDefault="004A77CC" w:rsidP="004A77CC">
      <w:pPr>
        <w:rPr>
          <w:rFonts w:ascii="Arial Narrow" w:hAnsi="Arial Narrow"/>
          <w:b/>
          <w:bCs/>
          <w:color w:val="0000FF"/>
          <w:sz w:val="28"/>
          <w:szCs w:val="28"/>
        </w:rPr>
      </w:pPr>
      <w:r>
        <w:rPr>
          <w:rFonts w:ascii="Brush Script MT" w:hAnsi="Brush Script MT"/>
          <w:b/>
          <w:bCs/>
          <w:color w:val="800000"/>
        </w:rPr>
        <w:t>~~~~~~~~~~~~~~~~~~~~~~~~~~~~~~~~~~~~~~~~~~~~~~~~~~~~~~~~</w:t>
      </w:r>
    </w:p>
    <w:p w:rsidR="004A77CC" w:rsidRDefault="004A77CC" w:rsidP="004A77CC">
      <w:pPr>
        <w:rPr>
          <w:color w:val="1F497D"/>
        </w:rPr>
      </w:pPr>
    </w:p>
    <w:p w:rsidR="004A77CC" w:rsidRDefault="004A77CC" w:rsidP="004A77CC">
      <w:r>
        <w:t>DEWS have released their finalised fact sheets for service providers to fulfil their reporting obligations under the new Bill.</w:t>
      </w:r>
    </w:p>
    <w:p w:rsidR="004A77CC" w:rsidRDefault="004A77CC" w:rsidP="004A77CC">
      <w:pPr>
        <w:spacing w:before="100" w:beforeAutospacing="1" w:after="100" w:afterAutospacing="1"/>
      </w:pPr>
      <w:r>
        <w:t>The key obligations and dates for service providers under the framework are:</w:t>
      </w:r>
    </w:p>
    <w:p w:rsidR="004A77CC" w:rsidRDefault="004A77CC" w:rsidP="004A77CC">
      <w:pPr>
        <w:numPr>
          <w:ilvl w:val="0"/>
          <w:numId w:val="2"/>
        </w:numPr>
        <w:spacing w:before="100" w:beforeAutospacing="1" w:after="100" w:afterAutospacing="1"/>
        <w:rPr>
          <w:rFonts w:eastAsia="Times New Roman"/>
        </w:rPr>
      </w:pPr>
      <w:r>
        <w:rPr>
          <w:rFonts w:eastAsia="Times New Roman"/>
          <w:b/>
          <w:bCs/>
        </w:rPr>
        <w:t>1 July 2014</w:t>
      </w:r>
      <w:r>
        <w:rPr>
          <w:rFonts w:eastAsia="Times New Roman"/>
        </w:rPr>
        <w:t>: begin collecting key performance indicator data for annual performance report.</w:t>
      </w:r>
    </w:p>
    <w:p w:rsidR="004A77CC" w:rsidRDefault="004A77CC" w:rsidP="004A77CC">
      <w:pPr>
        <w:numPr>
          <w:ilvl w:val="0"/>
          <w:numId w:val="2"/>
        </w:numPr>
        <w:spacing w:before="100" w:beforeAutospacing="1" w:after="100" w:afterAutospacing="1"/>
        <w:rPr>
          <w:rFonts w:eastAsia="Times New Roman"/>
        </w:rPr>
      </w:pPr>
      <w:r>
        <w:rPr>
          <w:rFonts w:eastAsia="Times New Roman"/>
          <w:b/>
          <w:bCs/>
        </w:rPr>
        <w:t>By 31 December 2014</w:t>
      </w:r>
      <w:r>
        <w:rPr>
          <w:rFonts w:eastAsia="Times New Roman"/>
        </w:rPr>
        <w:t>: develop new customer service standards.</w:t>
      </w:r>
    </w:p>
    <w:p w:rsidR="004A77CC" w:rsidRDefault="004A77CC" w:rsidP="004A77CC">
      <w:pPr>
        <w:numPr>
          <w:ilvl w:val="0"/>
          <w:numId w:val="2"/>
        </w:numPr>
        <w:spacing w:before="100" w:beforeAutospacing="1" w:after="100" w:afterAutospacing="1"/>
        <w:rPr>
          <w:rFonts w:eastAsia="Times New Roman"/>
        </w:rPr>
      </w:pPr>
      <w:r>
        <w:rPr>
          <w:rFonts w:eastAsia="Times New Roman"/>
          <w:b/>
          <w:bCs/>
        </w:rPr>
        <w:t>1 October 2015</w:t>
      </w:r>
      <w:r>
        <w:rPr>
          <w:rFonts w:eastAsia="Times New Roman"/>
        </w:rPr>
        <w:t>: submit annual performance report and publish online as soon as practicable.</w:t>
      </w:r>
    </w:p>
    <w:p w:rsidR="004A77CC" w:rsidRDefault="004A77CC" w:rsidP="004A77CC">
      <w:pPr>
        <w:spacing w:before="100" w:beforeAutospacing="1" w:after="100" w:afterAutospacing="1"/>
      </w:pPr>
      <w:r>
        <w:t>Service providers will also need to publish their performance reports and customer service standards online as soon as practicable.</w:t>
      </w:r>
    </w:p>
    <w:p w:rsidR="004A77CC" w:rsidRDefault="004A77CC" w:rsidP="004A77CC">
      <w:pPr>
        <w:pStyle w:val="Bodystyle"/>
        <w:spacing w:after="120"/>
        <w:rPr>
          <w:rFonts w:ascii="Calibri" w:hAnsi="Calibri" w:cs="Calibri"/>
        </w:rPr>
      </w:pPr>
      <w:r>
        <w:rPr>
          <w:rFonts w:ascii="Calibri" w:hAnsi="Calibri" w:cs="Calibri"/>
        </w:rPr>
        <w:t xml:space="preserve">The key requirement for providers with existing recycled water schemes is: </w:t>
      </w:r>
    </w:p>
    <w:p w:rsidR="004A77CC" w:rsidRDefault="004A77CC" w:rsidP="004A77CC">
      <w:pPr>
        <w:pStyle w:val="ListBullet1"/>
        <w:numPr>
          <w:ilvl w:val="0"/>
          <w:numId w:val="3"/>
        </w:numPr>
        <w:rPr>
          <w:rFonts w:ascii="Calibri" w:hAnsi="Calibri" w:cs="Calibri"/>
        </w:rPr>
      </w:pPr>
      <w:r>
        <w:rPr>
          <w:rFonts w:ascii="Calibri" w:hAnsi="Calibri" w:cs="Calibri"/>
          <w:b/>
          <w:bCs/>
        </w:rPr>
        <w:t>1 July 2014</w:t>
      </w:r>
      <w:r>
        <w:rPr>
          <w:rFonts w:ascii="Calibri" w:hAnsi="Calibri" w:cs="Calibri"/>
        </w:rPr>
        <w:t xml:space="preserve">—register the scheme </w:t>
      </w:r>
    </w:p>
    <w:p w:rsidR="004A77CC" w:rsidRDefault="004A77CC" w:rsidP="004A77CC">
      <w:pPr>
        <w:pStyle w:val="ListBullet1"/>
        <w:numPr>
          <w:ilvl w:val="0"/>
          <w:numId w:val="0"/>
        </w:numPr>
        <w:spacing w:after="120"/>
        <w:ind w:left="113"/>
        <w:rPr>
          <w:rFonts w:ascii="Calibri" w:hAnsi="Calibri" w:cs="Calibri"/>
        </w:rPr>
      </w:pPr>
    </w:p>
    <w:p w:rsidR="004A77CC" w:rsidRDefault="004A77CC" w:rsidP="004A77CC">
      <w:pPr>
        <w:pStyle w:val="ListBullet1"/>
        <w:numPr>
          <w:ilvl w:val="0"/>
          <w:numId w:val="0"/>
        </w:numPr>
        <w:spacing w:after="120"/>
        <w:ind w:left="113"/>
        <w:rPr>
          <w:rFonts w:ascii="Calibri" w:hAnsi="Calibri" w:cs="Calibri"/>
        </w:rPr>
      </w:pPr>
      <w:r>
        <w:rPr>
          <w:rFonts w:ascii="Calibri" w:hAnsi="Calibri" w:cs="Calibri"/>
        </w:rPr>
        <w:t>The key requirements for providers with new recycled water schemes that will supply to higher exposure uses are:</w:t>
      </w:r>
    </w:p>
    <w:p w:rsidR="004A77CC" w:rsidRDefault="004A77CC" w:rsidP="004A77CC">
      <w:pPr>
        <w:pStyle w:val="ListBullet1"/>
        <w:numPr>
          <w:ilvl w:val="0"/>
          <w:numId w:val="3"/>
        </w:numPr>
        <w:rPr>
          <w:rFonts w:ascii="Calibri" w:hAnsi="Calibri" w:cs="Calibri"/>
        </w:rPr>
      </w:pPr>
      <w:r>
        <w:rPr>
          <w:rFonts w:ascii="Calibri" w:hAnsi="Calibri" w:cs="Calibri"/>
          <w:b/>
          <w:bCs/>
        </w:rPr>
        <w:t>Prior to supply</w:t>
      </w:r>
      <w:r>
        <w:rPr>
          <w:rFonts w:ascii="Calibri" w:hAnsi="Calibri" w:cs="Calibri"/>
        </w:rPr>
        <w:t xml:space="preserve"> – obtain an approved recycled water management plan</w:t>
      </w:r>
    </w:p>
    <w:p w:rsidR="004A77CC" w:rsidRDefault="004A77CC" w:rsidP="004A77CC">
      <w:pPr>
        <w:pStyle w:val="ListBullet1"/>
        <w:numPr>
          <w:ilvl w:val="0"/>
          <w:numId w:val="3"/>
        </w:numPr>
        <w:rPr>
          <w:rFonts w:ascii="Calibri" w:hAnsi="Calibri" w:cs="Calibri"/>
        </w:rPr>
      </w:pPr>
      <w:r>
        <w:rPr>
          <w:rFonts w:ascii="Calibri" w:hAnsi="Calibri" w:cs="Calibri"/>
          <w:b/>
          <w:bCs/>
        </w:rPr>
        <w:t>Prior to supply</w:t>
      </w:r>
      <w:r>
        <w:rPr>
          <w:rFonts w:ascii="Calibri" w:hAnsi="Calibri" w:cs="Calibri"/>
        </w:rPr>
        <w:t xml:space="preserve"> – register the scheme.</w:t>
      </w:r>
    </w:p>
    <w:p w:rsidR="004A77CC" w:rsidRDefault="004A77CC" w:rsidP="004A77CC">
      <w:pPr>
        <w:pStyle w:val="ListBullet1"/>
        <w:numPr>
          <w:ilvl w:val="0"/>
          <w:numId w:val="0"/>
        </w:numPr>
        <w:ind w:left="113"/>
        <w:rPr>
          <w:rFonts w:ascii="Calibri" w:hAnsi="Calibri" w:cs="Calibri"/>
        </w:rPr>
      </w:pPr>
    </w:p>
    <w:p w:rsidR="004A77CC" w:rsidRDefault="004A77CC" w:rsidP="004A77CC">
      <w:pPr>
        <w:pStyle w:val="ListBullet1"/>
        <w:numPr>
          <w:ilvl w:val="0"/>
          <w:numId w:val="0"/>
        </w:numPr>
        <w:spacing w:after="120"/>
        <w:ind w:left="113"/>
        <w:rPr>
          <w:rFonts w:ascii="Calibri" w:hAnsi="Calibri" w:cs="Calibri"/>
        </w:rPr>
      </w:pPr>
      <w:r>
        <w:rPr>
          <w:rFonts w:ascii="Calibri" w:hAnsi="Calibri" w:cs="Calibri"/>
        </w:rPr>
        <w:t xml:space="preserve">The key requirement for providers with new recycled water schemes that only supply to lower exposure uses is: </w:t>
      </w:r>
    </w:p>
    <w:p w:rsidR="004A77CC" w:rsidRDefault="004A77CC" w:rsidP="004A77CC">
      <w:pPr>
        <w:spacing w:before="100" w:beforeAutospacing="1" w:after="100" w:afterAutospacing="1"/>
      </w:pPr>
      <w:r>
        <w:rPr>
          <w:b/>
          <w:bCs/>
        </w:rPr>
        <w:t>Within three months of first supply</w:t>
      </w:r>
      <w:r>
        <w:t xml:space="preserve"> – register the scheme.</w:t>
      </w:r>
    </w:p>
    <w:p w:rsidR="004A77CC" w:rsidRDefault="004A77CC" w:rsidP="004A77CC">
      <w:pPr>
        <w:pStyle w:val="NormalWeb"/>
        <w:rPr>
          <w:rFonts w:asciiTheme="minorHAnsi" w:hAnsiTheme="minorHAnsi" w:cstheme="minorHAnsi"/>
          <w:sz w:val="22"/>
          <w:szCs w:val="22"/>
        </w:rPr>
      </w:pPr>
      <w:r>
        <w:rPr>
          <w:rFonts w:asciiTheme="minorHAnsi" w:hAnsiTheme="minorHAnsi" w:cstheme="minorHAnsi"/>
          <w:sz w:val="22"/>
          <w:szCs w:val="22"/>
        </w:rPr>
        <w:t xml:space="preserve">The fact sheets are available on the Department of Energy and Water Supply website: </w:t>
      </w:r>
      <w:r>
        <w:t xml:space="preserve"> </w:t>
      </w:r>
      <w:hyperlink r:id="rId6" w:history="1">
        <w:r>
          <w:rPr>
            <w:rStyle w:val="Hyperlink"/>
            <w:rFonts w:asciiTheme="minorHAnsi" w:hAnsiTheme="minorHAnsi" w:cstheme="minorHAnsi"/>
            <w:sz w:val="22"/>
            <w:szCs w:val="22"/>
          </w:rPr>
          <w:t>http://www.dews.qld.gov.au/policies-initiatives/water-sector-reform/regulatory-reform</w:t>
        </w:r>
      </w:hyperlink>
    </w:p>
    <w:p w:rsidR="004A77CC" w:rsidRDefault="004A77CC" w:rsidP="004A77CC">
      <w:pPr>
        <w:rPr>
          <w:rFonts w:asciiTheme="minorHAnsi" w:hAnsiTheme="minorHAnsi"/>
        </w:rPr>
      </w:pPr>
      <w:r>
        <w:rPr>
          <w:rFonts w:ascii="Brush Script MT" w:hAnsi="Brush Script MT"/>
          <w:b/>
          <w:bCs/>
          <w:color w:val="800000"/>
        </w:rPr>
        <w:t>~~~~~~~~~~~~~~~~~~~~~~~~~~~~~~~~~~~~~~~~~~~~~~~~~~~~~~~~</w:t>
      </w:r>
    </w:p>
    <w:p w:rsidR="004A77CC" w:rsidRDefault="004A77CC" w:rsidP="004A77CC">
      <w:pPr>
        <w:rPr>
          <w:rFonts w:ascii="Arial Narrow" w:hAnsi="Arial Narrow"/>
          <w:b/>
          <w:bCs/>
          <w:iCs/>
          <w:color w:val="0000FF"/>
          <w:sz w:val="28"/>
          <w:szCs w:val="28"/>
        </w:rPr>
      </w:pPr>
      <w:r>
        <w:rPr>
          <w:rFonts w:ascii="Arial Narrow" w:hAnsi="Arial Narrow"/>
          <w:b/>
          <w:bCs/>
          <w:iCs/>
          <w:color w:val="0000FF"/>
          <w:sz w:val="28"/>
          <w:szCs w:val="28"/>
        </w:rPr>
        <w:t>2.  Amended Planning Guidelines for Water Supply and Sewerage</w:t>
      </w:r>
    </w:p>
    <w:p w:rsidR="004A77CC" w:rsidRDefault="004A77CC" w:rsidP="004A77CC">
      <w:pPr>
        <w:rPr>
          <w:rFonts w:ascii="Times New Roman" w:hAnsi="Times New Roman"/>
          <w:sz w:val="24"/>
          <w:szCs w:val="24"/>
        </w:rPr>
      </w:pPr>
      <w:r>
        <w:rPr>
          <w:rFonts w:ascii="Brush Script MT" w:hAnsi="Brush Script MT"/>
          <w:b/>
          <w:bCs/>
          <w:color w:val="800000"/>
        </w:rPr>
        <w:t xml:space="preserve">~~~~~~~~~~~~~~~~~~~~~~~~~~~~~~~~~~~~~~~~~~~~~~~~~~~~~~~~ </w:t>
      </w:r>
    </w:p>
    <w:p w:rsidR="004A77CC" w:rsidRDefault="004A77CC" w:rsidP="004A77CC">
      <w:pPr>
        <w:rPr>
          <w:rFonts w:ascii="Arial Narrow" w:hAnsi="Arial Narrow"/>
          <w:b/>
          <w:bCs/>
          <w:color w:val="0000FF"/>
          <w:sz w:val="28"/>
          <w:szCs w:val="28"/>
        </w:rPr>
      </w:pPr>
    </w:p>
    <w:p w:rsidR="004A77CC" w:rsidRDefault="004A77CC" w:rsidP="004A77CC">
      <w:r>
        <w:t xml:space="preserve">The State Government commenced a program of work to amend chapter 6 (Network Modelling and Applications) of these </w:t>
      </w:r>
      <w:hyperlink r:id="rId7" w:history="1">
        <w:r>
          <w:rPr>
            <w:rStyle w:val="Hyperlink"/>
          </w:rPr>
          <w:t>guidelines</w:t>
        </w:r>
      </w:hyperlink>
      <w:r>
        <w:rPr>
          <w:color w:val="1F497D"/>
        </w:rPr>
        <w:t xml:space="preserve"> </w:t>
      </w:r>
      <w:r>
        <w:t xml:space="preserve">a few years ago, convening an industry reference group to assist with the amendments. The primary purpose of Chapter 6 has always been to facilitate strategic </w:t>
      </w:r>
      <w:r>
        <w:lastRenderedPageBreak/>
        <w:t>thinking in the planning process. </w:t>
      </w:r>
      <w:proofErr w:type="gramStart"/>
      <w:r>
        <w:rPr>
          <w:b/>
          <w:bCs/>
          <w:i/>
          <w:iCs/>
        </w:rPr>
        <w:t>qldwater</w:t>
      </w:r>
      <w:proofErr w:type="gramEnd"/>
      <w:r>
        <w:rPr>
          <w:b/>
          <w:bCs/>
          <w:i/>
          <w:iCs/>
        </w:rPr>
        <w:t xml:space="preserve"> </w:t>
      </w:r>
      <w:r>
        <w:t xml:space="preserve">was unaware of the final publication which occurred in March 2014, and this notice is to advise interested members who may also have missed it.  It is particularly relevant to network planning in relation to fire flows. </w:t>
      </w:r>
    </w:p>
    <w:p w:rsidR="004A77CC" w:rsidRDefault="004A77CC" w:rsidP="004A77CC">
      <w:r>
        <w:t> </w:t>
      </w:r>
    </w:p>
    <w:p w:rsidR="004A77CC" w:rsidRDefault="004A77CC" w:rsidP="004A77CC">
      <w:r>
        <w:t>In very brief summary feedback indicated terminology changes were required to update the guideline:</w:t>
      </w:r>
    </w:p>
    <w:p w:rsidR="004A77CC" w:rsidRDefault="004A77CC" w:rsidP="004A77CC">
      <w:r>
        <w:t> </w:t>
      </w:r>
    </w:p>
    <w:p w:rsidR="004A77CC" w:rsidRDefault="004A77CC" w:rsidP="004A77CC">
      <w:pPr>
        <w:pStyle w:val="ListParagraph"/>
        <w:ind w:hanging="360"/>
      </w:pPr>
      <w:r>
        <w:rPr>
          <w:rFonts w:ascii="Symbol" w:hAnsi="Symbol"/>
        </w:rPr>
        <w:t></w:t>
      </w:r>
      <w:r>
        <w:rPr>
          <w:rFonts w:ascii="Times New Roman" w:hAnsi="Times New Roman" w:cs="Times New Roman"/>
          <w:sz w:val="14"/>
          <w:szCs w:val="14"/>
        </w:rPr>
        <w:t xml:space="preserve">         </w:t>
      </w:r>
      <w:r>
        <w:t>Most of the “</w:t>
      </w:r>
      <w:proofErr w:type="spellStart"/>
      <w:r>
        <w:t>shoulds</w:t>
      </w:r>
      <w:proofErr w:type="spellEnd"/>
      <w:r>
        <w:t>” and “musts” in the previous chapter have been replaced with less prescriptive terms.  Previously specified minimum pressures are now “recommended.”</w:t>
      </w:r>
    </w:p>
    <w:p w:rsidR="004A77CC" w:rsidRDefault="004A77CC" w:rsidP="004A77CC">
      <w:pPr>
        <w:pStyle w:val="ListParagraph"/>
        <w:ind w:hanging="360"/>
      </w:pPr>
      <w:r>
        <w:rPr>
          <w:rFonts w:ascii="Symbol" w:hAnsi="Symbol"/>
        </w:rPr>
        <w:t></w:t>
      </w:r>
      <w:r>
        <w:rPr>
          <w:rFonts w:ascii="Times New Roman" w:hAnsi="Times New Roman" w:cs="Times New Roman"/>
          <w:sz w:val="14"/>
          <w:szCs w:val="14"/>
        </w:rPr>
        <w:t xml:space="preserve">         </w:t>
      </w:r>
      <w:r>
        <w:t>The now dated term of ‘Fire Authority’</w:t>
      </w:r>
      <w:proofErr w:type="gramStart"/>
      <w:r>
        <w:t>  has</w:t>
      </w:r>
      <w:proofErr w:type="gramEnd"/>
      <w:r>
        <w:t xml:space="preserve"> been amended to ‘Fire Service’ bringing the guideline into alignment with definitions that are also found within Queensland Fire legislation. The definition of the Fire Service is now the definition that is used within the </w:t>
      </w:r>
      <w:r>
        <w:rPr>
          <w:i/>
          <w:iCs/>
        </w:rPr>
        <w:t>Fire and Rescue Service Act 1990</w:t>
      </w:r>
      <w:r>
        <w:t xml:space="preserve"> for ‘Service’</w:t>
      </w:r>
      <w:r>
        <w:rPr>
          <w:i/>
          <w:iCs/>
        </w:rPr>
        <w:t>.</w:t>
      </w:r>
    </w:p>
    <w:p w:rsidR="004A77CC" w:rsidRDefault="004A77CC" w:rsidP="004A77CC">
      <w:pPr>
        <w:pStyle w:val="ListParagraph"/>
        <w:ind w:hanging="360"/>
        <w:jc w:val="both"/>
      </w:pPr>
      <w:r>
        <w:rPr>
          <w:rFonts w:ascii="Symbol" w:hAnsi="Symbol"/>
        </w:rPr>
        <w:t></w:t>
      </w:r>
      <w:r>
        <w:rPr>
          <w:rFonts w:ascii="Times New Roman" w:hAnsi="Times New Roman" w:cs="Times New Roman"/>
          <w:sz w:val="14"/>
          <w:szCs w:val="14"/>
        </w:rPr>
        <w:t xml:space="preserve">         </w:t>
      </w:r>
      <w:proofErr w:type="gramStart"/>
      <w:r>
        <w:t>Another</w:t>
      </w:r>
      <w:proofErr w:type="gramEnd"/>
      <w:r>
        <w:t xml:space="preserve"> consistent comment that was identified was in regard to the terminology used for ‘system head curves’, replacement of this terminology with ‘characteristic curves’ has been used to assist in clearing up this anomaly.</w:t>
      </w:r>
    </w:p>
    <w:p w:rsidR="004A77CC" w:rsidRDefault="004A77CC" w:rsidP="004A77CC">
      <w:pPr>
        <w:pStyle w:val="ListParagraph"/>
        <w:ind w:hanging="360"/>
      </w:pPr>
      <w:r>
        <w:rPr>
          <w:rFonts w:ascii="Symbol" w:hAnsi="Symbol"/>
        </w:rPr>
        <w:t></w:t>
      </w:r>
      <w:r>
        <w:rPr>
          <w:rFonts w:ascii="Times New Roman" w:hAnsi="Times New Roman" w:cs="Times New Roman"/>
          <w:sz w:val="14"/>
          <w:szCs w:val="14"/>
        </w:rPr>
        <w:t xml:space="preserve">         </w:t>
      </w:r>
      <w:proofErr w:type="gramStart"/>
      <w:r>
        <w:t>There</w:t>
      </w:r>
      <w:proofErr w:type="gramEnd"/>
      <w:r>
        <w:t xml:space="preserve"> are a number of refinements to modelling definitions, guidance around design for new developments, and amendments to reflect changes to recycled water management.</w:t>
      </w:r>
    </w:p>
    <w:p w:rsidR="004A77CC" w:rsidRDefault="004A77CC" w:rsidP="004A77CC">
      <w:pPr>
        <w:pStyle w:val="ListParagraph"/>
        <w:ind w:hanging="360"/>
      </w:pPr>
      <w:proofErr w:type="gramStart"/>
      <w:r>
        <w:rPr>
          <w:rFonts w:ascii="Symbol" w:hAnsi="Symbol"/>
        </w:rPr>
        <w:t></w:t>
      </w:r>
      <w:r>
        <w:rPr>
          <w:rFonts w:ascii="Times New Roman" w:hAnsi="Times New Roman" w:cs="Times New Roman"/>
          <w:sz w:val="14"/>
          <w:szCs w:val="14"/>
        </w:rPr>
        <w:t xml:space="preserve">         </w:t>
      </w:r>
      <w:r>
        <w:t>More encouragement of stakeholder consultation.</w:t>
      </w:r>
      <w:proofErr w:type="gramEnd"/>
    </w:p>
    <w:p w:rsidR="004A77CC" w:rsidRDefault="004A77CC" w:rsidP="004A77CC">
      <w:pPr>
        <w:ind w:left="360"/>
      </w:pPr>
      <w:r>
        <w:t> </w:t>
      </w:r>
    </w:p>
    <w:p w:rsidR="004A77CC" w:rsidRDefault="004A77CC" w:rsidP="004A77CC">
      <w:pPr>
        <w:jc w:val="both"/>
      </w:pPr>
      <w:r>
        <w:t>In regard, to the legislative requirements of Chapter 6 of the Planning Guidelines for Water Supply and Sewerage the intent has always been for Chapter 6 to be read in conjunction with all other legislative requirements and where inconsistency with the any legislative requirements, the legislative requirements prevail to the extent of the inconsistency.</w:t>
      </w:r>
    </w:p>
    <w:p w:rsidR="004A77CC" w:rsidRDefault="004A77CC" w:rsidP="004A77CC">
      <w:r>
        <w:t> </w:t>
      </w:r>
    </w:p>
    <w:p w:rsidR="004A77CC" w:rsidRDefault="004A77CC" w:rsidP="004A77CC">
      <w:r>
        <w:t>While provision of network capacity to fight fires in the community is an important part of the water supply network, there is no legal requirement for a water service provider in Queensland to do so unless specified in a WSP’s customer service standard.</w:t>
      </w:r>
    </w:p>
    <w:p w:rsidR="004A77CC" w:rsidRDefault="004A77CC" w:rsidP="004A77CC">
      <w:r>
        <w:t> </w:t>
      </w:r>
    </w:p>
    <w:p w:rsidR="004A77CC" w:rsidRDefault="004A77CC" w:rsidP="004A77CC">
      <w:r>
        <w:t>To comply (voluntarily) with the guideline, providers will need to:</w:t>
      </w:r>
    </w:p>
    <w:p w:rsidR="004A77CC" w:rsidRDefault="004A77CC" w:rsidP="004A77CC">
      <w:r>
        <w:t> </w:t>
      </w:r>
    </w:p>
    <w:p w:rsidR="004A77CC" w:rsidRDefault="004A77CC" w:rsidP="004A77CC">
      <w:pPr>
        <w:pStyle w:val="ListParagraph"/>
        <w:ind w:hanging="360"/>
      </w:pPr>
      <w:r>
        <w:rPr>
          <w:rFonts w:ascii="Symbol" w:hAnsi="Symbol"/>
        </w:rPr>
        <w:t></w:t>
      </w:r>
      <w:r>
        <w:rPr>
          <w:rFonts w:ascii="Times New Roman" w:hAnsi="Times New Roman" w:cs="Times New Roman"/>
          <w:sz w:val="14"/>
          <w:szCs w:val="14"/>
        </w:rPr>
        <w:t xml:space="preserve">         </w:t>
      </w:r>
      <w:r>
        <w:t>Develop and maintain a fire flow policy</w:t>
      </w:r>
    </w:p>
    <w:p w:rsidR="004A77CC" w:rsidRDefault="004A77CC" w:rsidP="004A77CC">
      <w:pPr>
        <w:pStyle w:val="ListParagraph"/>
        <w:ind w:hanging="360"/>
      </w:pPr>
      <w:r>
        <w:rPr>
          <w:rFonts w:ascii="Symbol" w:hAnsi="Symbol"/>
        </w:rPr>
        <w:t></w:t>
      </w:r>
      <w:r>
        <w:rPr>
          <w:rFonts w:ascii="Times New Roman" w:hAnsi="Times New Roman" w:cs="Times New Roman"/>
          <w:sz w:val="14"/>
          <w:szCs w:val="14"/>
        </w:rPr>
        <w:t xml:space="preserve">         </w:t>
      </w:r>
      <w:r>
        <w:t>Implement a service level agreement with the local fire service</w:t>
      </w:r>
    </w:p>
    <w:p w:rsidR="004A77CC" w:rsidRDefault="004A77CC" w:rsidP="004A77CC">
      <w:pPr>
        <w:pStyle w:val="ListParagraph"/>
        <w:ind w:hanging="360"/>
      </w:pPr>
      <w:r>
        <w:rPr>
          <w:rFonts w:ascii="Symbol" w:hAnsi="Symbol"/>
        </w:rPr>
        <w:t></w:t>
      </w:r>
      <w:r>
        <w:rPr>
          <w:rFonts w:ascii="Times New Roman" w:hAnsi="Times New Roman" w:cs="Times New Roman"/>
          <w:sz w:val="14"/>
          <w:szCs w:val="14"/>
        </w:rPr>
        <w:t xml:space="preserve">         </w:t>
      </w:r>
      <w:r>
        <w:t>Maintain a fire flow provision register</w:t>
      </w:r>
    </w:p>
    <w:p w:rsidR="004A77CC" w:rsidRDefault="004A77CC" w:rsidP="004A77CC">
      <w:pPr>
        <w:pStyle w:val="ListParagraph"/>
        <w:ind w:hanging="360"/>
      </w:pPr>
      <w:r>
        <w:rPr>
          <w:rFonts w:ascii="Symbol" w:hAnsi="Symbol"/>
        </w:rPr>
        <w:t></w:t>
      </w:r>
      <w:r>
        <w:rPr>
          <w:rFonts w:ascii="Times New Roman" w:hAnsi="Times New Roman" w:cs="Times New Roman"/>
          <w:sz w:val="14"/>
          <w:szCs w:val="14"/>
        </w:rPr>
        <w:t xml:space="preserve">         </w:t>
      </w:r>
      <w:r>
        <w:t>Document minimum fire flow provisions and maintain this level of service in the water supply network</w:t>
      </w:r>
    </w:p>
    <w:p w:rsidR="004A77CC" w:rsidRDefault="004A77CC" w:rsidP="004A77CC">
      <w:pPr>
        <w:pStyle w:val="ListParagraph"/>
        <w:ind w:hanging="360"/>
      </w:pPr>
      <w:proofErr w:type="gramStart"/>
      <w:r>
        <w:rPr>
          <w:rFonts w:ascii="Symbol" w:hAnsi="Symbol"/>
        </w:rPr>
        <w:t></w:t>
      </w:r>
      <w:r>
        <w:rPr>
          <w:rFonts w:ascii="Times New Roman" w:hAnsi="Times New Roman" w:cs="Times New Roman"/>
          <w:sz w:val="14"/>
          <w:szCs w:val="14"/>
        </w:rPr>
        <w:t xml:space="preserve">         </w:t>
      </w:r>
      <w:r>
        <w:t xml:space="preserve">Include provisions in recycled water management plans for recycled water used for </w:t>
      </w:r>
      <w:proofErr w:type="spellStart"/>
      <w:r>
        <w:t>fire fighting</w:t>
      </w:r>
      <w:proofErr w:type="spellEnd"/>
      <w:r>
        <w:t>.</w:t>
      </w:r>
      <w:proofErr w:type="gramEnd"/>
    </w:p>
    <w:p w:rsidR="004A77CC" w:rsidRDefault="004A77CC" w:rsidP="004A77CC">
      <w:pPr>
        <w:autoSpaceDE w:val="0"/>
        <w:autoSpaceDN w:val="0"/>
        <w:jc w:val="both"/>
        <w:textAlignment w:val="baseline"/>
      </w:pPr>
      <w:r>
        <w:t> </w:t>
      </w:r>
    </w:p>
    <w:p w:rsidR="004A77CC" w:rsidRDefault="004A77CC" w:rsidP="004A77CC">
      <w:pPr>
        <w:autoSpaceDE w:val="0"/>
        <w:autoSpaceDN w:val="0"/>
        <w:textAlignment w:val="baseline"/>
      </w:pPr>
      <w:r>
        <w:t xml:space="preserve">The consultation has now been finalised and the amended guideline is available on the departmental website: </w:t>
      </w:r>
      <w:hyperlink r:id="rId8" w:history="1">
        <w:r>
          <w:rPr>
            <w:rStyle w:val="Hyperlink"/>
          </w:rPr>
          <w:t>http://www.dews.qld.gov.au/__data/assets/pdf_file/0016/80053/water-sewerage-planning-guidelines.pdf</w:t>
        </w:r>
      </w:hyperlink>
      <w:r>
        <w:t xml:space="preserve"> </w:t>
      </w:r>
    </w:p>
    <w:p w:rsidR="004A77CC" w:rsidRDefault="004A77CC" w:rsidP="004A77CC">
      <w:pPr>
        <w:autoSpaceDE w:val="0"/>
        <w:autoSpaceDN w:val="0"/>
        <w:textAlignment w:val="baseline"/>
      </w:pPr>
      <w:r>
        <w:t> </w:t>
      </w:r>
    </w:p>
    <w:p w:rsidR="004A77CC" w:rsidRDefault="004A77CC" w:rsidP="004A77CC">
      <w:r>
        <w:t xml:space="preserve">If you would like to discuss further the results of the consultation please do not hesitate to contact Chris </w:t>
      </w:r>
      <w:proofErr w:type="spellStart"/>
      <w:r>
        <w:t>Pfeffer</w:t>
      </w:r>
      <w:proofErr w:type="spellEnd"/>
      <w:r>
        <w:t xml:space="preserve"> from the department on (07) 3199 4880.</w:t>
      </w:r>
    </w:p>
    <w:p w:rsidR="004A77CC" w:rsidRDefault="004A77CC" w:rsidP="004A77CC">
      <w:pPr>
        <w:pStyle w:val="PlainText"/>
      </w:pPr>
    </w:p>
    <w:p w:rsidR="004A77CC" w:rsidRDefault="004A77CC" w:rsidP="004A77CC">
      <w:r>
        <w:rPr>
          <w:rFonts w:ascii="Brush Script MT" w:hAnsi="Brush Script MT"/>
          <w:b/>
          <w:bCs/>
          <w:color w:val="800000"/>
        </w:rPr>
        <w:t xml:space="preserve">~~~~~~~~~~~~~~~~~~~~~~~~~~~~~~~~~~~~~~~~~~~~~~~~~~~~~~~~ </w:t>
      </w:r>
    </w:p>
    <w:p w:rsidR="004A77CC" w:rsidRDefault="004A77CC" w:rsidP="004A77CC">
      <w:r>
        <w:rPr>
          <w:rFonts w:ascii="Arial Narrow" w:hAnsi="Arial Narrow"/>
          <w:b/>
          <w:bCs/>
          <w:color w:val="000080"/>
          <w:sz w:val="18"/>
          <w:szCs w:val="18"/>
        </w:rPr>
        <w:t>This message may be passed on to interested individuals and organisations.</w:t>
      </w:r>
    </w:p>
    <w:p w:rsidR="004A77CC" w:rsidRDefault="004A77CC" w:rsidP="004A77CC">
      <w:r>
        <w:rPr>
          <w:rFonts w:ascii="Arial Narrow" w:hAnsi="Arial Narrow"/>
          <w:color w:val="000080"/>
          <w:sz w:val="18"/>
          <w:szCs w:val="18"/>
        </w:rPr>
        <w:t xml:space="preserve">To </w:t>
      </w:r>
      <w:r>
        <w:rPr>
          <w:rFonts w:ascii="Arial Narrow" w:hAnsi="Arial Narrow"/>
          <w:b/>
          <w:bCs/>
          <w:color w:val="000080"/>
          <w:sz w:val="18"/>
          <w:szCs w:val="18"/>
        </w:rPr>
        <w:t>add your name</w:t>
      </w:r>
      <w:r>
        <w:rPr>
          <w:rFonts w:ascii="Arial Narrow" w:hAnsi="Arial Narrow"/>
          <w:color w:val="000080"/>
          <w:sz w:val="18"/>
          <w:szCs w:val="18"/>
        </w:rPr>
        <w:t xml:space="preserve"> to the distribution list, email “subscribe” to </w:t>
      </w:r>
      <w:hyperlink r:id="rId9" w:tooltip="blocked::mailto:hgold@qldwater.com.au&#10;mailto:hgold@qldwater.com.au" w:history="1">
        <w:r>
          <w:rPr>
            <w:rStyle w:val="Hyperlink"/>
            <w:rFonts w:ascii="Arial Narrow" w:hAnsi="Arial Narrow"/>
            <w:sz w:val="18"/>
            <w:szCs w:val="18"/>
          </w:rPr>
          <w:t>hgold@qldwater.com.au</w:t>
        </w:r>
      </w:hyperlink>
    </w:p>
    <w:p w:rsidR="004A77CC" w:rsidRDefault="004A77CC" w:rsidP="004A77CC">
      <w:r>
        <w:rPr>
          <w:rFonts w:ascii="Arial Narrow" w:hAnsi="Arial Narrow"/>
          <w:color w:val="000080"/>
          <w:sz w:val="18"/>
          <w:szCs w:val="18"/>
        </w:rPr>
        <w:t xml:space="preserve">To </w:t>
      </w:r>
      <w:r>
        <w:rPr>
          <w:rFonts w:ascii="Arial Narrow" w:hAnsi="Arial Narrow"/>
          <w:b/>
          <w:bCs/>
          <w:color w:val="000080"/>
          <w:sz w:val="18"/>
          <w:szCs w:val="18"/>
        </w:rPr>
        <w:t>remove your name</w:t>
      </w:r>
      <w:r>
        <w:rPr>
          <w:rFonts w:ascii="Arial Narrow" w:hAnsi="Arial Narrow"/>
          <w:color w:val="000080"/>
          <w:sz w:val="18"/>
          <w:szCs w:val="18"/>
        </w:rPr>
        <w:t xml:space="preserve"> from the distribution list, email “unsubscribe” to </w:t>
      </w:r>
      <w:hyperlink r:id="rId10"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4A77CC" w:rsidRDefault="004A77CC" w:rsidP="004A77CC">
      <w:r>
        <w:rPr>
          <w:rFonts w:ascii="Arial Narrow" w:hAnsi="Arial Narrow"/>
          <w:b/>
          <w:bCs/>
          <w:color w:val="000080"/>
          <w:sz w:val="18"/>
          <w:szCs w:val="18"/>
          <w:lang w:val="da-DK"/>
        </w:rPr>
        <w:t xml:space="preserve">Visit qldwater at </w:t>
      </w:r>
      <w:hyperlink r:id="rId11"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4A77CC" w:rsidRDefault="004A77CC" w:rsidP="004A77CC">
      <w:r>
        <w:rPr>
          <w:rFonts w:ascii="Brush Script MT" w:hAnsi="Brush Script MT"/>
          <w:b/>
          <w:bCs/>
          <w:color w:val="800000"/>
          <w:lang w:val="da-DK"/>
        </w:rPr>
        <w:t>~~~~~~~~~~~~~~~~~~~~~~~~~~~~~~~~~~~~~~~~~~~~~~~~~~~~~~~~</w:t>
      </w:r>
    </w:p>
    <w:p w:rsidR="004A77CC" w:rsidRPr="001C544D" w:rsidRDefault="004A77CC" w:rsidP="001C544D">
      <w:pPr>
        <w:rPr>
          <w:rFonts w:eastAsiaTheme="minorEastAsia"/>
          <w:noProof/>
        </w:rPr>
      </w:pPr>
    </w:p>
    <w:p w:rsidR="003E2E1E" w:rsidRDefault="003E2E1E"/>
    <w:sectPr w:rsidR="003E2E1E" w:rsidSect="0065030E">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16BE0"/>
    <w:multiLevelType w:val="hybridMultilevel"/>
    <w:tmpl w:val="8B6AF02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nsid w:val="23361A5C"/>
    <w:multiLevelType w:val="multilevel"/>
    <w:tmpl w:val="D34CB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FBC7AC8"/>
    <w:multiLevelType w:val="hybridMultilevel"/>
    <w:tmpl w:val="1C6E328A"/>
    <w:lvl w:ilvl="0" w:tplc="0D861552">
      <w:start w:val="1"/>
      <w:numFmt w:val="bullet"/>
      <w:lvlText w:val=""/>
      <w:lvlJc w:val="left"/>
      <w:pPr>
        <w:ind w:left="340" w:hanging="227"/>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43BA0415"/>
    <w:multiLevelType w:val="multilevel"/>
    <w:tmpl w:val="04090023"/>
    <w:lvl w:ilvl="0">
      <w:start w:val="1"/>
      <w:numFmt w:val="upperRoman"/>
      <w:pStyle w:val="ListBullet1"/>
      <w:lvlText w:val="Article %1."/>
      <w:lvlJc w:val="left"/>
      <w:pPr>
        <w:ind w:left="0" w:firstLine="0"/>
      </w:pPr>
      <w:rPr>
        <w:rFonts w:cs="Times New Roman"/>
      </w:rPr>
    </w:lvl>
    <w:lvl w:ilvl="1">
      <w:start w:val="1"/>
      <w:numFmt w:val="decimalZero"/>
      <w:isLgl/>
      <w:lvlText w:val="Section %1.%2"/>
      <w:lvlJc w:val="left"/>
      <w:pPr>
        <w:ind w:left="0" w:firstLine="0"/>
      </w:pPr>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7CC"/>
    <w:rsid w:val="001C544D"/>
    <w:rsid w:val="003E2E1E"/>
    <w:rsid w:val="004A77CC"/>
    <w:rsid w:val="006503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7CC"/>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77CC"/>
    <w:rPr>
      <w:color w:val="0000FF"/>
      <w:u w:val="single"/>
    </w:rPr>
  </w:style>
  <w:style w:type="paragraph" w:styleId="NormalWeb">
    <w:name w:val="Normal (Web)"/>
    <w:basedOn w:val="Normal"/>
    <w:uiPriority w:val="99"/>
    <w:semiHidden/>
    <w:unhideWhenUsed/>
    <w:rsid w:val="004A77CC"/>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4A77CC"/>
  </w:style>
  <w:style w:type="character" w:customStyle="1" w:styleId="PlainTextChar">
    <w:name w:val="Plain Text Char"/>
    <w:basedOn w:val="DefaultParagraphFont"/>
    <w:link w:val="PlainText"/>
    <w:uiPriority w:val="99"/>
    <w:semiHidden/>
    <w:rsid w:val="004A77CC"/>
    <w:rPr>
      <w:rFonts w:ascii="Calibri" w:hAnsi="Calibri" w:cs="Calibri"/>
      <w:lang w:eastAsia="en-AU"/>
    </w:rPr>
  </w:style>
  <w:style w:type="paragraph" w:styleId="ListParagraph">
    <w:name w:val="List Paragraph"/>
    <w:basedOn w:val="Normal"/>
    <w:uiPriority w:val="34"/>
    <w:qFormat/>
    <w:rsid w:val="004A77CC"/>
    <w:pPr>
      <w:ind w:left="720"/>
    </w:pPr>
  </w:style>
  <w:style w:type="paragraph" w:customStyle="1" w:styleId="Bodystyle">
    <w:name w:val="Body style"/>
    <w:basedOn w:val="Normal"/>
    <w:uiPriority w:val="99"/>
    <w:semiHidden/>
    <w:rsid w:val="004A77CC"/>
    <w:pPr>
      <w:spacing w:after="240"/>
    </w:pPr>
    <w:rPr>
      <w:rFonts w:ascii="Arial" w:hAnsi="Arial" w:cs="Arial"/>
      <w:lang w:eastAsia="en-US"/>
    </w:rPr>
  </w:style>
  <w:style w:type="paragraph" w:customStyle="1" w:styleId="ListBullet1">
    <w:name w:val="List Bullet1"/>
    <w:basedOn w:val="Normal"/>
    <w:uiPriority w:val="99"/>
    <w:semiHidden/>
    <w:rsid w:val="004A77CC"/>
    <w:pPr>
      <w:numPr>
        <w:numId w:val="1"/>
      </w:numPr>
      <w:ind w:left="720" w:hanging="360"/>
      <w:contextualSpacing/>
    </w:pPr>
    <w:rPr>
      <w:rFonts w:ascii="Arial"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7CC"/>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77CC"/>
    <w:rPr>
      <w:color w:val="0000FF"/>
      <w:u w:val="single"/>
    </w:rPr>
  </w:style>
  <w:style w:type="paragraph" w:styleId="NormalWeb">
    <w:name w:val="Normal (Web)"/>
    <w:basedOn w:val="Normal"/>
    <w:uiPriority w:val="99"/>
    <w:semiHidden/>
    <w:unhideWhenUsed/>
    <w:rsid w:val="004A77CC"/>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4A77CC"/>
  </w:style>
  <w:style w:type="character" w:customStyle="1" w:styleId="PlainTextChar">
    <w:name w:val="Plain Text Char"/>
    <w:basedOn w:val="DefaultParagraphFont"/>
    <w:link w:val="PlainText"/>
    <w:uiPriority w:val="99"/>
    <w:semiHidden/>
    <w:rsid w:val="004A77CC"/>
    <w:rPr>
      <w:rFonts w:ascii="Calibri" w:hAnsi="Calibri" w:cs="Calibri"/>
      <w:lang w:eastAsia="en-AU"/>
    </w:rPr>
  </w:style>
  <w:style w:type="paragraph" w:styleId="ListParagraph">
    <w:name w:val="List Paragraph"/>
    <w:basedOn w:val="Normal"/>
    <w:uiPriority w:val="34"/>
    <w:qFormat/>
    <w:rsid w:val="004A77CC"/>
    <w:pPr>
      <w:ind w:left="720"/>
    </w:pPr>
  </w:style>
  <w:style w:type="paragraph" w:customStyle="1" w:styleId="Bodystyle">
    <w:name w:val="Body style"/>
    <w:basedOn w:val="Normal"/>
    <w:uiPriority w:val="99"/>
    <w:semiHidden/>
    <w:rsid w:val="004A77CC"/>
    <w:pPr>
      <w:spacing w:after="240"/>
    </w:pPr>
    <w:rPr>
      <w:rFonts w:ascii="Arial" w:hAnsi="Arial" w:cs="Arial"/>
      <w:lang w:eastAsia="en-US"/>
    </w:rPr>
  </w:style>
  <w:style w:type="paragraph" w:customStyle="1" w:styleId="ListBullet1">
    <w:name w:val="List Bullet1"/>
    <w:basedOn w:val="Normal"/>
    <w:uiPriority w:val="99"/>
    <w:semiHidden/>
    <w:rsid w:val="004A77CC"/>
    <w:pPr>
      <w:numPr>
        <w:numId w:val="1"/>
      </w:numPr>
      <w:ind w:left="720" w:hanging="360"/>
      <w:contextualSpacing/>
    </w:pPr>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ws.qld.gov.au/__data/assets/pdf_file/0016/80053/water-sewerage-planning-guidelines.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dews.qld.gov.au/__data/assets/pdf_file/0016/80053/water-sewerage-planning-guideline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ws.qld.gov.au/policies-initiatives/water-sector-reform/regulatory-reform" TargetMode="External"/><Relationship Id="rId11" Type="http://schemas.openxmlformats.org/officeDocument/2006/relationships/hyperlink" Target="http://www.qldwater.com.au" TargetMode="External"/><Relationship Id="rId5" Type="http://schemas.openxmlformats.org/officeDocument/2006/relationships/webSettings" Target="webSettings.xml"/><Relationship Id="rId10" Type="http://schemas.openxmlformats.org/officeDocument/2006/relationships/hyperlink" Target="mailto:hgold@qldwater.com.au" TargetMode="External"/><Relationship Id="rId4" Type="http://schemas.openxmlformats.org/officeDocument/2006/relationships/settings" Target="settings.xml"/><Relationship Id="rId9" Type="http://schemas.openxmlformats.org/officeDocument/2006/relationships/hyperlink" Target="mailto:hgold@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Gold</dc:creator>
  <cp:lastModifiedBy>Heather Gold</cp:lastModifiedBy>
  <cp:revision>2</cp:revision>
  <dcterms:created xsi:type="dcterms:W3CDTF">2014-05-20T23:25:00Z</dcterms:created>
  <dcterms:modified xsi:type="dcterms:W3CDTF">2014-05-20T23:59:00Z</dcterms:modified>
</cp:coreProperties>
</file>